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0F" w:rsidRDefault="00A1290F" w:rsidP="00A1290F">
      <w:pPr>
        <w:pageBreakBefore/>
        <w:widowControl w:val="0"/>
        <w:tabs>
          <w:tab w:val="left" w:pos="1293"/>
        </w:tabs>
        <w:overflowPunct w:val="0"/>
        <w:spacing w:line="269" w:lineRule="exact"/>
        <w:ind w:left="5387"/>
        <w:rPr>
          <w:szCs w:val="24"/>
        </w:rPr>
      </w:pPr>
      <w:r>
        <w:rPr>
          <w:color w:val="000000"/>
          <w:szCs w:val="24"/>
          <w:lang w:eastAsia="lt-LT"/>
        </w:rPr>
        <w:t xml:space="preserve">PATVIRTINTA </w:t>
      </w:r>
    </w:p>
    <w:p w:rsidR="00A1290F" w:rsidRDefault="00A1290F" w:rsidP="00A1290F">
      <w:pPr>
        <w:widowControl w:val="0"/>
        <w:tabs>
          <w:tab w:val="left" w:pos="1293"/>
        </w:tabs>
        <w:overflowPunct w:val="0"/>
        <w:spacing w:line="269" w:lineRule="exact"/>
        <w:ind w:left="5387"/>
        <w:rPr>
          <w:color w:val="000000"/>
          <w:szCs w:val="24"/>
          <w:lang w:eastAsia="lt-LT"/>
        </w:rPr>
      </w:pPr>
      <w:bookmarkStart w:id="0" w:name="_GoBack"/>
      <w:bookmarkEnd w:id="0"/>
      <w:r>
        <w:rPr>
          <w:color w:val="000000"/>
          <w:szCs w:val="24"/>
          <w:lang w:eastAsia="lt-LT"/>
        </w:rPr>
        <w:t>Kupiškio rajono savivaldybės</w:t>
      </w:r>
    </w:p>
    <w:p w:rsidR="00A1290F" w:rsidRDefault="00A1290F" w:rsidP="00A1290F">
      <w:pPr>
        <w:widowControl w:val="0"/>
        <w:tabs>
          <w:tab w:val="left" w:pos="1293"/>
        </w:tabs>
        <w:overflowPunct w:val="0"/>
        <w:spacing w:line="269" w:lineRule="exact"/>
        <w:ind w:left="538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administracijos direktoriaus </w:t>
      </w:r>
    </w:p>
    <w:p w:rsidR="00E339C5" w:rsidRDefault="00A1290F" w:rsidP="00A1290F">
      <w:pPr>
        <w:widowControl w:val="0"/>
        <w:tabs>
          <w:tab w:val="left" w:pos="1293"/>
        </w:tabs>
        <w:overflowPunct w:val="0"/>
        <w:spacing w:line="269" w:lineRule="exact"/>
        <w:ind w:left="538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2016 m. gegužės</w:t>
      </w:r>
      <w:r w:rsidR="00E339C5">
        <w:rPr>
          <w:color w:val="000000"/>
          <w:szCs w:val="24"/>
          <w:lang w:eastAsia="lt-LT"/>
        </w:rPr>
        <w:t xml:space="preserve"> 26</w:t>
      </w:r>
      <w:r>
        <w:rPr>
          <w:color w:val="000000"/>
          <w:szCs w:val="24"/>
          <w:lang w:eastAsia="lt-LT"/>
        </w:rPr>
        <w:t xml:space="preserve"> d. įsakymu </w:t>
      </w:r>
    </w:p>
    <w:p w:rsidR="00A1290F" w:rsidRDefault="00A1290F" w:rsidP="00A1290F">
      <w:pPr>
        <w:widowControl w:val="0"/>
        <w:tabs>
          <w:tab w:val="left" w:pos="1293"/>
        </w:tabs>
        <w:overflowPunct w:val="0"/>
        <w:spacing w:line="269" w:lineRule="exact"/>
        <w:ind w:left="538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Nr. ADV-</w:t>
      </w:r>
      <w:r w:rsidR="00E339C5">
        <w:rPr>
          <w:color w:val="000000"/>
          <w:szCs w:val="24"/>
          <w:lang w:eastAsia="lt-LT"/>
        </w:rPr>
        <w:t>385</w:t>
      </w:r>
    </w:p>
    <w:p w:rsidR="00A1290F" w:rsidRDefault="00A1290F" w:rsidP="00A1290F">
      <w:pPr>
        <w:widowControl w:val="0"/>
        <w:tabs>
          <w:tab w:val="left" w:pos="1293"/>
        </w:tabs>
        <w:overflowPunct w:val="0"/>
        <w:spacing w:line="269" w:lineRule="exact"/>
        <w:rPr>
          <w:color w:val="000000"/>
          <w:szCs w:val="24"/>
          <w:lang w:eastAsia="lt-LT"/>
        </w:rPr>
      </w:pPr>
    </w:p>
    <w:p w:rsidR="00A1290F" w:rsidRDefault="00A1290F" w:rsidP="00A1290F">
      <w:pPr>
        <w:widowControl w:val="0"/>
        <w:tabs>
          <w:tab w:val="left" w:pos="1293"/>
        </w:tabs>
        <w:overflowPunct w:val="0"/>
        <w:spacing w:line="269" w:lineRule="exact"/>
        <w:rPr>
          <w:color w:val="000000"/>
          <w:szCs w:val="24"/>
          <w:lang w:eastAsia="lt-LT"/>
        </w:rPr>
      </w:pPr>
    </w:p>
    <w:p w:rsidR="00A1290F" w:rsidRDefault="00A1290F" w:rsidP="00A1290F">
      <w:pPr>
        <w:widowControl w:val="0"/>
        <w:tabs>
          <w:tab w:val="left" w:pos="1293"/>
        </w:tabs>
        <w:overflowPunct w:val="0"/>
        <w:spacing w:line="264" w:lineRule="exact"/>
        <w:jc w:val="center"/>
        <w:rPr>
          <w:szCs w:val="24"/>
        </w:rPr>
      </w:pPr>
      <w:r>
        <w:rPr>
          <w:b/>
          <w:bCs/>
          <w:color w:val="000000"/>
          <w:szCs w:val="24"/>
          <w:lang w:eastAsia="lt-LT"/>
        </w:rPr>
        <w:t xml:space="preserve">KUPIŠKIO RAJONO SAVIVALDYBĖS UŽKREČIAMŲJŲ LIGŲ PROFILAKTIKOS IR KONTROLĖS ORGANIZACINIŲ PRIEMONIŲ PLANAS </w:t>
      </w:r>
      <w:r>
        <w:rPr>
          <w:b/>
          <w:caps/>
          <w:szCs w:val="24"/>
        </w:rPr>
        <w:t xml:space="preserve">savivaldybės tarybos kadencijos laikotarpiui </w:t>
      </w:r>
    </w:p>
    <w:p w:rsidR="00A1290F" w:rsidRDefault="00A1290F" w:rsidP="00A1290F">
      <w:pPr>
        <w:widowControl w:val="0"/>
        <w:tabs>
          <w:tab w:val="left" w:pos="1293"/>
        </w:tabs>
        <w:overflowPunct w:val="0"/>
        <w:spacing w:line="264" w:lineRule="exact"/>
        <w:rPr>
          <w:b/>
          <w:bCs/>
          <w:color w:val="000000"/>
          <w:szCs w:val="24"/>
          <w:lang w:eastAsia="lt-LT"/>
        </w:rPr>
      </w:pPr>
    </w:p>
    <w:p w:rsidR="00A1290F" w:rsidRDefault="00A1290F" w:rsidP="00A1290F">
      <w:pPr>
        <w:widowControl w:val="0"/>
        <w:tabs>
          <w:tab w:val="left" w:pos="1293"/>
        </w:tabs>
        <w:overflowPunct w:val="0"/>
        <w:spacing w:line="264" w:lineRule="exact"/>
        <w:rPr>
          <w:b/>
          <w:bCs/>
          <w:color w:val="000000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3237"/>
        <w:gridCol w:w="1916"/>
        <w:gridCol w:w="1951"/>
        <w:gridCol w:w="1948"/>
      </w:tblGrid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  <w:lang w:eastAsia="lt-LT"/>
              </w:rPr>
              <w:t>Priemonės pavadinimas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  <w:lang w:eastAsia="lt-LT"/>
              </w:rPr>
              <w:t>Atlikimo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  <w:lang w:eastAsia="lt-LT"/>
              </w:rPr>
              <w:t>laikas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  <w:lang w:eastAsia="lt-LT"/>
              </w:rPr>
              <w:t>Atsakingas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  <w:lang w:eastAsia="lt-LT"/>
              </w:rPr>
              <w:t>vykdytojas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  <w:lang w:eastAsia="lt-LT"/>
              </w:rPr>
              <w:t>Kriterijai</w:t>
            </w:r>
          </w:p>
        </w:tc>
      </w:tr>
      <w:tr w:rsidR="00A1290F" w:rsidTr="00A1290F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1. Teikti informaciją Lietuvos Respublikos sveikatos apsaugos ministerijai, valstybiniams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spacing w:line="264" w:lineRule="exact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centrams ir kitoms žinyboms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Gavus duomenis iš Nacionalinio visuomenės sveikatos centro prie Sveikatos apsaugos ministerijos Panevėžio departamento (toliau – Panevėžio NVSC) Kupiškio skyriaus apie susirgimus užkrečiamomis ligomis, jų analizės ataskaitą ir prognozes pateikti Savivaldybės administracijos direktoriui.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Kasmet</w:t>
            </w:r>
          </w:p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iki balandžio mėn.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ind w:left="-63" w:right="-3" w:firstLine="15"/>
              <w:rPr>
                <w:szCs w:val="24"/>
              </w:rPr>
            </w:pPr>
            <w:r>
              <w:rPr>
                <w:szCs w:val="24"/>
              </w:rPr>
              <w:t>Panevėžio NVSC Kupiškio skyrius, Savivaldybės gydytojas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Parengta ir pateikta metinė</w:t>
            </w:r>
          </w:p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ataskaita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Teikti Savivaldybės tarybai informaciją apie užkrečiamų ligų profilaktikos ir kontrolės organizacinių priemonių plano įgyvendinimą ir kontrolę.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Kasmet iki balandžio mėn.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rPr>
                <w:szCs w:val="24"/>
              </w:rPr>
            </w:pPr>
            <w:r>
              <w:rPr>
                <w:szCs w:val="24"/>
              </w:rPr>
              <w:t>Administracijos direktorius, Savivaldybės gydytojas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Pateikta metinė ataskaita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1.3.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Teikti informaciją žiniasklaidai ir visuomenei apie Kupiškio rajono gyventojų sergamumą infekcinėmis ligomis ir jų profilaktikos priemones.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Nuolat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szCs w:val="24"/>
              </w:rPr>
              <w:t>Panevėžio NVSC Kupiškio skyrius</w:t>
            </w:r>
            <w:r>
              <w:rPr>
                <w:color w:val="000000"/>
                <w:szCs w:val="24"/>
                <w:lang w:eastAsia="lt-LT"/>
              </w:rPr>
              <w:t>, Rokiškio rajono savivaldybės Visuomenės sveikatos biuras (toliau – Visuomenės sveikatos biuras)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Straipsniai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spaudoje,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Savivaldybės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interneto svetainėje, paskaitos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Nustačius pavojingą ar ypač pavojingą užkrečiamąją ligą, teikti informaciją Savivaldybės gydytojui ir </w:t>
            </w:r>
            <w:r>
              <w:rPr>
                <w:szCs w:val="24"/>
              </w:rPr>
              <w:t>Panevėžio NVSC Kupiškio skyriui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 vėliau kaip per 2 val. žodžiu (telefonu) ir ne vėliau kaip per 12 val. raštu (faksu arba elektroniniu paštu)</w:t>
            </w:r>
          </w:p>
          <w:p w:rsidR="00FC1032" w:rsidRDefault="00FC1032">
            <w:pPr>
              <w:widowControl w:val="0"/>
              <w:tabs>
                <w:tab w:val="left" w:pos="1293"/>
              </w:tabs>
              <w:overflowPunct w:val="0"/>
              <w:rPr>
                <w:color w:val="000000"/>
                <w:szCs w:val="24"/>
              </w:rPr>
            </w:pPr>
          </w:p>
          <w:p w:rsidR="00FC1032" w:rsidRDefault="00FC1032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Asmens sveikatos priežiūros įstaigos (toliau – ASPĮ)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Laiku pateikta informacija</w:t>
            </w:r>
          </w:p>
        </w:tc>
      </w:tr>
      <w:tr w:rsidR="00A1290F" w:rsidTr="00A1290F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spacing w:line="264" w:lineRule="exact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lastRenderedPageBreak/>
              <w:t xml:space="preserve">2. Vykdyti nacionalinį aplinkos </w:t>
            </w:r>
            <w:proofErr w:type="spellStart"/>
            <w:r>
              <w:rPr>
                <w:b/>
                <w:bCs/>
                <w:color w:val="000000"/>
                <w:szCs w:val="24"/>
                <w:lang w:eastAsia="lt-LT"/>
              </w:rPr>
              <w:t>sveikatinimo</w:t>
            </w:r>
            <w:proofErr w:type="spellEnd"/>
            <w:r>
              <w:rPr>
                <w:b/>
                <w:bCs/>
                <w:color w:val="000000"/>
                <w:szCs w:val="24"/>
                <w:lang w:eastAsia="lt-LT"/>
              </w:rPr>
              <w:t xml:space="preserve"> veiksmų planą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Vykdyti maudyklų vandens kokybės stebėseną.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Kasmet maudymosi  sezono metu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Kupiškio rajono savivaldybės Urbanistikos ir ekologijos skyriaus </w:t>
            </w:r>
            <w:r>
              <w:rPr>
                <w:bCs/>
                <w:color w:val="000000"/>
                <w:szCs w:val="24"/>
              </w:rPr>
              <w:t>vyresnysis specialistas (ekologas)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Atliktų vandens tyrimų ir išvadų skaičius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2.2.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Vykdyti geriamojo vandens kokybės kontrolę, siekiant užkirsti kelią užkrečiamųjų ligų, plintančių per geriamąjį vandenį, plitimą.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Nuolat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Valstybinės maisto ir veterinarijos tarnybos Kupiškio valstybinė maisto ir veterinarijos tarnyba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Atliktų vandens tyrimų ir išvadų skaičius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ind w:left="-10" w:right="-123"/>
              <w:rPr>
                <w:szCs w:val="24"/>
              </w:rPr>
            </w:pPr>
            <w:r>
              <w:rPr>
                <w:szCs w:val="24"/>
              </w:rPr>
              <w:t>Erkių aktyvumo sezono metu informuoti visuomenę apie galimybę pasiskiepyti ir kitas profilaktines priemones.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Kasmet, erkių aktyvumo sezono metu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Panevėžio NVSC Kupiškio skyrius, Visuomenės sveikatos biuras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Pateikta informacija sezono metu</w:t>
            </w:r>
          </w:p>
        </w:tc>
      </w:tr>
      <w:tr w:rsidR="00A1290F" w:rsidTr="00A1290F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spacing w:line="264" w:lineRule="exact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3. Užkrečiamųjų ligų epidemiologinė priežiūra ir kontrolė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Analizuoti gyventojų sergamumą užkrečiamosiomis ligomis ir prognozes pateikti visuomenei.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Visus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metus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Savivaldybės gydytojas,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szCs w:val="24"/>
              </w:rPr>
              <w:t>Panevėžio NVSC Kupiškio skyrius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Informacija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spaudoje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3.2.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Užkrečiamųjų ligų protrūkių analizė ir rekomendacijų teikimas.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Visus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metus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Savivaldybės gydytojas,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szCs w:val="24"/>
              </w:rPr>
              <w:t>Panevėžio NVSC Kupiškio skyrius, Visuomenės sveikatos biuras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Rekomendacijų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skaičius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3.3.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Kontroliuoti, kaip vykdomos užkrečiamųjų ligų profilaktinės programos (tuberkuliozės ir kt.).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Visus 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metus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Savivaldybės gydytojas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Programų skaičius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3.4.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Teikti konsultacijas užkrečiamųjų ligų profilaktikos klausimais.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Nuolat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szCs w:val="24"/>
              </w:rPr>
              <w:t>Panevėžio NVSC Kupiškio skyrius,</w:t>
            </w:r>
            <w:r>
              <w:rPr>
                <w:color w:val="000000"/>
                <w:szCs w:val="24"/>
                <w:lang w:eastAsia="lt-LT"/>
              </w:rPr>
              <w:t xml:space="preserve"> Visuomenės sveikatos biuras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Konsultacijų,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straipsnių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skaičius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3.5.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 xml:space="preserve">Vykdyti gripo ir ūminių viršutinių kvėpavimo takų infekcijų epidemiologinę priežiūrą, vadovaujantis </w:t>
            </w:r>
            <w:r>
              <w:rPr>
                <w:color w:val="000000"/>
                <w:szCs w:val="24"/>
              </w:rPr>
              <w:t xml:space="preserve">Gripo ir ūminių viršutinių kvėpavimo takų infekcijų epidemiologinės priežiūros taisyklėmis, patvirtintomis LR sveikatos apsaugos ministro 2012 m. sausio 30 d. įsakymu Nr. V-58 „Dėl Gripo ir ūminių viršutinių kvėpavimo takų infekcijų </w:t>
            </w:r>
            <w:r>
              <w:rPr>
                <w:color w:val="000000"/>
                <w:szCs w:val="24"/>
              </w:rPr>
              <w:lastRenderedPageBreak/>
              <w:t>epidemiologinės priežiūros taisyklių patvirtinimo“ (su visais pakeitimais).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Nuolat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Panevėžio NVSC Kupiškio skyrius</w:t>
            </w:r>
            <w:r>
              <w:rPr>
                <w:color w:val="000000"/>
                <w:szCs w:val="24"/>
                <w:lang w:eastAsia="lt-LT"/>
              </w:rPr>
              <w:t>,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ASPĮ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rFonts w:eastAsia="Courier New"/>
                <w:color w:val="000000"/>
                <w:szCs w:val="24"/>
                <w:lang w:eastAsia="lt-LT"/>
              </w:rPr>
            </w:pP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3.6.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Peržiūrėti ir prireikus koreguoti Savivaldybės gripo ir ūminių viršutinių kvėpavimo takų infekcijų profilaktikos ir epidemijos kompleksinių priemonių planą.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Kasmet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lapkričio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mėn.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Savivaldybės gydytojas,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szCs w:val="24"/>
              </w:rPr>
              <w:t>Panevėžio NVSC Kupiškio skyrius,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ASPĮ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Pakoreguotas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planas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3.7.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rPr>
                <w:szCs w:val="24"/>
              </w:rPr>
            </w:pPr>
            <w:r>
              <w:rPr>
                <w:szCs w:val="24"/>
              </w:rPr>
              <w:t>Įgyvendinti ŽIV/AIDS ir lytiškai plintančių infekcijų profilaktikos ir kontrolės programą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Nuolat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Visuomenės sveikatos biuras, Savivaldybės gydytojas, Panevėžio NVSC Kupiškio skyrius,</w:t>
            </w:r>
          </w:p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Kupiškio rajono savivaldybės Bendruomenės sveikatos taryba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Informacijos spaudoje, renginių skaičius 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3.8.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Užtikrinti sergančių pavojingomis ir ypač pavojingomis užkrečiamosiomis ligomis asmenų būtinąjį hospitalizavimą ir izoliavimą.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Prireikus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Savivaldybės</w:t>
            </w:r>
          </w:p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gydytojas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Hospitalizuotų ir izoliuotų asmenų skaičius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3.9.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Kelti sveikatos priežiūros specialistų kvalifikaciją užkrečiamųjų ligų profilaktikos ir prevencijos klausimais.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Sveikatos priežiūros įstaigos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Kvalifikaciją kėlusių specialistų skaičius</w:t>
            </w:r>
          </w:p>
        </w:tc>
      </w:tr>
      <w:tr w:rsidR="00A1290F" w:rsidTr="00A1290F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widowControl w:val="0"/>
              <w:tabs>
                <w:tab w:val="left" w:pos="1293"/>
              </w:tabs>
              <w:overflowPunct w:val="0"/>
              <w:spacing w:line="264" w:lineRule="exact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4. Teritorinės medicininės-karantininės apsaugos priemonės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Patikslinti ir esant reikalui vadovautis Kupiškio rajono savivaldybės pasirengimo raupų grėsmei priemonių planu.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kern w:val="3"/>
                <w:szCs w:val="24"/>
              </w:rPr>
              <w:t xml:space="preserve">Kasmet </w:t>
            </w:r>
          </w:p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kern w:val="3"/>
                <w:szCs w:val="24"/>
              </w:rPr>
              <w:t>I ketvirtis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Savivaldybės gydytojas,</w:t>
            </w:r>
          </w:p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ASPĮ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Patikslintas planas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Esant reikalui patikslinti Kupiškio rajono savivaldybės ekstremalių situacijų valdymo planą.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kern w:val="3"/>
                <w:szCs w:val="24"/>
              </w:rPr>
              <w:t xml:space="preserve">Kasmet </w:t>
            </w:r>
          </w:p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Savivaldybės ekstremalių situacijų komisija (Savivaldybės ESK), Savivaldybės gydytojas, </w:t>
            </w:r>
            <w:r>
              <w:rPr>
                <w:color w:val="000000"/>
                <w:szCs w:val="24"/>
                <w:lang w:eastAsia="lt-LT"/>
              </w:rPr>
              <w:t>ASPĮ</w:t>
            </w:r>
          </w:p>
          <w:p w:rsidR="00A1290F" w:rsidRDefault="00A1290F">
            <w:pPr>
              <w:snapToGrid w:val="0"/>
              <w:rPr>
                <w:kern w:val="3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Patikslintas planas</w:t>
            </w:r>
          </w:p>
        </w:tc>
      </w:tr>
      <w:tr w:rsidR="00A1290F" w:rsidTr="00A1290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4.3.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Peržiūrėti ir, esant reikalui, koreguoti Kupiškio rajono savivaldybės pasirengimo gripo pandemijai priemonių planą.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Kasmet iki lapkričio mėn.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Savivaldybės gydytojas,</w:t>
            </w:r>
            <w:r>
              <w:rPr>
                <w:szCs w:val="24"/>
                <w:highlight w:val="magenta"/>
              </w:rPr>
              <w:t xml:space="preserve"> </w:t>
            </w:r>
            <w:r>
              <w:rPr>
                <w:szCs w:val="24"/>
              </w:rPr>
              <w:t xml:space="preserve">Panevėžio NVSC Kupiškio skyrius, Savivaldybės ESK, </w:t>
            </w:r>
            <w:r>
              <w:rPr>
                <w:color w:val="000000"/>
                <w:szCs w:val="24"/>
                <w:lang w:eastAsia="lt-LT"/>
              </w:rPr>
              <w:t>ASPĮ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0F" w:rsidRDefault="00A1290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Patikslintas planas</w:t>
            </w:r>
          </w:p>
        </w:tc>
      </w:tr>
    </w:tbl>
    <w:p w:rsidR="00A1290F" w:rsidRDefault="00E339C5" w:rsidP="00A1290F">
      <w:pPr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510540</wp:posOffset>
                </wp:positionV>
                <wp:extent cx="2604770" cy="0"/>
                <wp:effectExtent l="5080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4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6D2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1.85pt;margin-top:40.2pt;width:20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fQ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"/>
            </w:pict>
          </mc:Fallback>
        </mc:AlternateContent>
      </w:r>
    </w:p>
    <w:p w:rsidR="00E56B55" w:rsidRDefault="00E56B55"/>
    <w:sectPr w:rsidR="00E56B55" w:rsidSect="00A1290F">
      <w:headerReference w:type="default" r:id="rId6"/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0B2" w:rsidRDefault="00D240B2" w:rsidP="00A1290F">
      <w:r>
        <w:separator/>
      </w:r>
    </w:p>
  </w:endnote>
  <w:endnote w:type="continuationSeparator" w:id="0">
    <w:p w:rsidR="00D240B2" w:rsidRDefault="00D240B2" w:rsidP="00A1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0F" w:rsidRDefault="00A1290F">
    <w:pPr>
      <w:pStyle w:val="Porat"/>
      <w:jc w:val="center"/>
    </w:pPr>
  </w:p>
  <w:p w:rsidR="00A1290F" w:rsidRDefault="00A1290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0B2" w:rsidRDefault="00D240B2" w:rsidP="00A1290F">
      <w:r>
        <w:separator/>
      </w:r>
    </w:p>
  </w:footnote>
  <w:footnote w:type="continuationSeparator" w:id="0">
    <w:p w:rsidR="00D240B2" w:rsidRDefault="00D240B2" w:rsidP="00A12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8636"/>
      <w:docPartObj>
        <w:docPartGallery w:val="Page Numbers (Top of Page)"/>
        <w:docPartUnique/>
      </w:docPartObj>
    </w:sdtPr>
    <w:sdtEndPr/>
    <w:sdtContent>
      <w:p w:rsidR="00A1290F" w:rsidRDefault="00FC103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290F" w:rsidRDefault="00A1290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0F"/>
    <w:rsid w:val="00033D2A"/>
    <w:rsid w:val="00112B4C"/>
    <w:rsid w:val="00160AC7"/>
    <w:rsid w:val="002540AE"/>
    <w:rsid w:val="00355595"/>
    <w:rsid w:val="00422F89"/>
    <w:rsid w:val="00477F30"/>
    <w:rsid w:val="004C2205"/>
    <w:rsid w:val="00766159"/>
    <w:rsid w:val="007820F2"/>
    <w:rsid w:val="00792BB5"/>
    <w:rsid w:val="00A1290F"/>
    <w:rsid w:val="00AE44D2"/>
    <w:rsid w:val="00B07708"/>
    <w:rsid w:val="00D0649C"/>
    <w:rsid w:val="00D240B2"/>
    <w:rsid w:val="00DB685A"/>
    <w:rsid w:val="00E339C5"/>
    <w:rsid w:val="00E56B55"/>
    <w:rsid w:val="00F73495"/>
    <w:rsid w:val="00F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08D8D0F4-A815-4719-BF5C-14CDB88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90F"/>
    <w:pPr>
      <w:suppressAutoHyphens/>
      <w:autoSpaceDN w:val="0"/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1290F"/>
    <w:pPr>
      <w:autoSpaceDN w:val="0"/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29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90F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129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90F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39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39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3533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daiva_k</cp:lastModifiedBy>
  <cp:revision>3</cp:revision>
  <cp:lastPrinted>2016-05-26T13:01:00Z</cp:lastPrinted>
  <dcterms:created xsi:type="dcterms:W3CDTF">2016-05-26T13:00:00Z</dcterms:created>
  <dcterms:modified xsi:type="dcterms:W3CDTF">2016-05-26T13:01:00Z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fec9d24a-546a-4b0e-b4ad-8ed6b5ab14d5</vt:lpwstr>
  </property>
</Properties>
</file>