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EA453" w14:textId="77777777" w:rsidR="00D74F76" w:rsidRDefault="000A5B07" w:rsidP="00D74F76">
      <w:pPr>
        <w:spacing w:after="0" w:line="240" w:lineRule="auto"/>
        <w:rPr>
          <w:szCs w:val="24"/>
        </w:rPr>
      </w:pPr>
      <w:r w:rsidRPr="000A5B07">
        <w:tab/>
      </w:r>
      <w:r w:rsidR="00464478">
        <w:t xml:space="preserve"> </w:t>
      </w:r>
      <w:r w:rsidR="00464478">
        <w:tab/>
      </w:r>
      <w:r w:rsidR="00464478">
        <w:tab/>
      </w:r>
      <w:r w:rsidR="00464478">
        <w:tab/>
      </w:r>
      <w:r w:rsidR="00D74F76">
        <w:rPr>
          <w:szCs w:val="24"/>
        </w:rPr>
        <w:t>PATVIRTINTA</w:t>
      </w:r>
      <w:r w:rsidR="00D74F76">
        <w:rPr>
          <w:szCs w:val="24"/>
        </w:rPr>
        <w:tab/>
      </w:r>
      <w:r w:rsidR="00D74F76">
        <w:rPr>
          <w:szCs w:val="24"/>
        </w:rPr>
        <w:tab/>
      </w:r>
      <w:r w:rsidR="00D74F76">
        <w:rPr>
          <w:szCs w:val="24"/>
        </w:rPr>
        <w:tab/>
      </w:r>
      <w:r w:rsidR="00D74F76">
        <w:rPr>
          <w:szCs w:val="24"/>
        </w:rPr>
        <w:tab/>
      </w:r>
      <w:r w:rsidR="00D74F76">
        <w:rPr>
          <w:szCs w:val="24"/>
        </w:rPr>
        <w:tab/>
        <w:t xml:space="preserve"> </w:t>
      </w:r>
      <w:r w:rsidR="00D74F76">
        <w:rPr>
          <w:szCs w:val="24"/>
        </w:rPr>
        <w:tab/>
        <w:t xml:space="preserve">Kupiškio rajono savivaldybės mero  </w:t>
      </w:r>
    </w:p>
    <w:p w14:paraId="42D2D2E7" w14:textId="7F12E01A" w:rsidR="00D74F76" w:rsidRDefault="00D74F76" w:rsidP="00D74F76">
      <w:pPr>
        <w:spacing w:after="0" w:line="240" w:lineRule="auto"/>
        <w:ind w:left="3888" w:firstLine="1296"/>
        <w:rPr>
          <w:szCs w:val="24"/>
        </w:rPr>
      </w:pPr>
      <w:r>
        <w:rPr>
          <w:szCs w:val="24"/>
        </w:rPr>
        <w:t>2023 m. spalio  d. potvarkiu</w:t>
      </w:r>
    </w:p>
    <w:p w14:paraId="2CF1BE16" w14:textId="77777777" w:rsidR="00D74F76" w:rsidRDefault="00D74F76" w:rsidP="00D74F76">
      <w:pPr>
        <w:spacing w:after="0" w:line="240" w:lineRule="auto"/>
        <w:rPr>
          <w:szCs w:val="24"/>
        </w:rPr>
      </w:pPr>
      <w:r>
        <w:rPr>
          <w:szCs w:val="24"/>
        </w:rPr>
        <w:t xml:space="preserve"> </w:t>
      </w:r>
      <w:r>
        <w:rPr>
          <w:szCs w:val="24"/>
        </w:rPr>
        <w:tab/>
      </w:r>
      <w:r>
        <w:rPr>
          <w:szCs w:val="24"/>
        </w:rPr>
        <w:tab/>
      </w:r>
      <w:r>
        <w:rPr>
          <w:szCs w:val="24"/>
        </w:rPr>
        <w:tab/>
      </w:r>
      <w:r>
        <w:rPr>
          <w:szCs w:val="24"/>
        </w:rPr>
        <w:tab/>
        <w:t>Nr. MV-</w:t>
      </w:r>
    </w:p>
    <w:p w14:paraId="7C7992DC" w14:textId="5116277C" w:rsidR="000A5B07" w:rsidRPr="000A5B07" w:rsidRDefault="000A5B07" w:rsidP="00D74F76">
      <w:pPr>
        <w:spacing w:after="0" w:line="240" w:lineRule="auto"/>
      </w:pPr>
    </w:p>
    <w:p w14:paraId="5F040CEA" w14:textId="77777777" w:rsidR="000A5B07" w:rsidRPr="000A5B07" w:rsidRDefault="000A5B07" w:rsidP="000A5B07">
      <w:pPr>
        <w:spacing w:after="0" w:line="240" w:lineRule="auto"/>
        <w:jc w:val="center"/>
        <w:rPr>
          <w:b/>
          <w:szCs w:val="24"/>
        </w:rPr>
      </w:pPr>
      <w:r w:rsidRPr="000A5B07">
        <w:rPr>
          <w:b/>
          <w:szCs w:val="24"/>
        </w:rPr>
        <w:t>PERMOKĖTŲ AR NETEISĖTAI SLAUGANČIAM ASMENIUI IŠMOKĖTŲ TIKSLINIŲ KOMPENSACIJŲ GRĄŽINIMO TVARKOS APRAŠAS</w:t>
      </w:r>
    </w:p>
    <w:p w14:paraId="397044C0" w14:textId="77777777" w:rsidR="000A5B07" w:rsidRPr="000A5B07" w:rsidRDefault="000A5B07" w:rsidP="000A5B07">
      <w:pPr>
        <w:spacing w:after="0" w:line="240" w:lineRule="auto"/>
        <w:jc w:val="center"/>
        <w:rPr>
          <w:b/>
          <w:szCs w:val="24"/>
        </w:rPr>
      </w:pPr>
    </w:p>
    <w:p w14:paraId="230A4821" w14:textId="77777777" w:rsidR="000A5B07" w:rsidRPr="000A5B07" w:rsidRDefault="000A5B07" w:rsidP="000A5B07">
      <w:pPr>
        <w:spacing w:after="0" w:line="240" w:lineRule="auto"/>
        <w:jc w:val="center"/>
        <w:rPr>
          <w:b/>
          <w:szCs w:val="24"/>
        </w:rPr>
      </w:pPr>
      <w:r w:rsidRPr="000A5B07">
        <w:rPr>
          <w:b/>
          <w:szCs w:val="24"/>
        </w:rPr>
        <w:t>I SKYRIUS</w:t>
      </w:r>
    </w:p>
    <w:p w14:paraId="5C7DCD50" w14:textId="77777777" w:rsidR="000A5B07" w:rsidRPr="000A5B07" w:rsidRDefault="000A5B07" w:rsidP="000A5B07">
      <w:pPr>
        <w:spacing w:after="0" w:line="240" w:lineRule="auto"/>
        <w:jc w:val="center"/>
        <w:rPr>
          <w:b/>
          <w:szCs w:val="24"/>
        </w:rPr>
      </w:pPr>
      <w:r w:rsidRPr="000A5B07">
        <w:rPr>
          <w:b/>
          <w:szCs w:val="24"/>
        </w:rPr>
        <w:t>BENDROSIOS NUOSTATOS</w:t>
      </w:r>
    </w:p>
    <w:p w14:paraId="613A6029" w14:textId="77777777" w:rsidR="000A5B07" w:rsidRPr="000A5B07" w:rsidRDefault="000A5B07" w:rsidP="000A5B07">
      <w:pPr>
        <w:spacing w:after="0" w:line="360" w:lineRule="auto"/>
        <w:jc w:val="both"/>
        <w:rPr>
          <w:b/>
          <w:szCs w:val="24"/>
        </w:rPr>
      </w:pPr>
    </w:p>
    <w:p w14:paraId="1787E687" w14:textId="6F53E304" w:rsidR="000A5B07" w:rsidRPr="000A5B07" w:rsidRDefault="000A5B07" w:rsidP="000A5B07">
      <w:pPr>
        <w:tabs>
          <w:tab w:val="left" w:pos="1247"/>
        </w:tabs>
        <w:spacing w:after="0" w:line="360" w:lineRule="auto"/>
        <w:jc w:val="both"/>
        <w:rPr>
          <w:szCs w:val="24"/>
        </w:rPr>
      </w:pPr>
      <w:r w:rsidRPr="000A5B07">
        <w:rPr>
          <w:szCs w:val="24"/>
        </w:rPr>
        <w:tab/>
        <w:t>1. Permokėtų ar neteisėtai slaugančiam asmeniui išmokėtų tikslinių kompensacijų grąžinimo tvarkos aprašas (toliau – Tvarkos aprašas) reglamentuoja tikslinių kompensacijų permokų nustatymo, sprendimų dėl permokos išieškojimo priėmimą, permokų grąžinim</w:t>
      </w:r>
      <w:r w:rsidR="005346D2">
        <w:rPr>
          <w:szCs w:val="24"/>
        </w:rPr>
        <w:t>ą</w:t>
      </w:r>
      <w:r w:rsidRPr="000A5B07">
        <w:rPr>
          <w:szCs w:val="24"/>
        </w:rPr>
        <w:t xml:space="preserve"> Kupiškio rajono savivaldyb</w:t>
      </w:r>
      <w:r w:rsidR="00184AD6">
        <w:rPr>
          <w:szCs w:val="24"/>
        </w:rPr>
        <w:t>ės mero</w:t>
      </w:r>
      <w:r w:rsidR="005346D2">
        <w:rPr>
          <w:szCs w:val="24"/>
        </w:rPr>
        <w:t xml:space="preserve"> nustatyta</w:t>
      </w:r>
      <w:r w:rsidRPr="000A5B07">
        <w:rPr>
          <w:szCs w:val="24"/>
        </w:rPr>
        <w:t xml:space="preserve"> tvark</w:t>
      </w:r>
      <w:r w:rsidR="005346D2">
        <w:rPr>
          <w:szCs w:val="24"/>
        </w:rPr>
        <w:t>a</w:t>
      </w:r>
      <w:r w:rsidRPr="000A5B07">
        <w:rPr>
          <w:szCs w:val="24"/>
        </w:rPr>
        <w:t>.</w:t>
      </w:r>
    </w:p>
    <w:p w14:paraId="53A39685"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rPr>
          <w:rFonts w:eastAsia="SimSun" w:cs="Tahoma"/>
          <w:color w:val="000000"/>
          <w:kern w:val="2"/>
          <w:szCs w:val="24"/>
          <w:lang w:eastAsia="hi-IN" w:bidi="hi-IN"/>
        </w:rPr>
      </w:pPr>
      <w:r w:rsidRPr="000A5B07">
        <w:rPr>
          <w:rFonts w:eastAsia="SimSun" w:cs="Tahoma"/>
          <w:color w:val="000000"/>
          <w:kern w:val="2"/>
          <w:szCs w:val="24"/>
          <w:lang w:eastAsia="hi-IN" w:bidi="hi-IN"/>
        </w:rPr>
        <w:tab/>
        <w:t xml:space="preserve">2. Tikslinės kompensacijos – Lietuvos Respublikos tikslinių kompensacijų įstatyme numatytos išmokos: </w:t>
      </w:r>
    </w:p>
    <w:p w14:paraId="45D23F1D"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rPr>
          <w:rFonts w:eastAsia="SimSun" w:cs="Tahoma"/>
          <w:color w:val="000000"/>
          <w:kern w:val="2"/>
          <w:szCs w:val="24"/>
          <w:lang w:eastAsia="hi-IN" w:bidi="hi-IN"/>
        </w:rPr>
      </w:pPr>
      <w:r w:rsidRPr="000A5B07">
        <w:rPr>
          <w:rFonts w:eastAsia="SimSun" w:cs="Tahoma"/>
          <w:color w:val="000000"/>
          <w:kern w:val="2"/>
          <w:szCs w:val="24"/>
          <w:lang w:eastAsia="hi-IN" w:bidi="hi-IN"/>
        </w:rPr>
        <w:tab/>
        <w:t>2.1. slaugos išlaidų tikslinė kompensacija;</w:t>
      </w:r>
    </w:p>
    <w:p w14:paraId="2DCC0A5C"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rPr>
          <w:rFonts w:eastAsia="SimSun" w:cs="Tahoma"/>
          <w:color w:val="000000"/>
          <w:kern w:val="2"/>
          <w:szCs w:val="24"/>
          <w:lang w:eastAsia="hi-IN" w:bidi="hi-IN"/>
        </w:rPr>
      </w:pPr>
      <w:r w:rsidRPr="000A5B07">
        <w:rPr>
          <w:rFonts w:eastAsia="SimSun" w:cs="Tahoma"/>
          <w:color w:val="000000"/>
          <w:kern w:val="2"/>
          <w:szCs w:val="24"/>
          <w:lang w:eastAsia="hi-IN" w:bidi="hi-IN"/>
        </w:rPr>
        <w:tab/>
        <w:t>2.2. priežiūros (pagalbos) išlaidų tikslinė kompensacija.</w:t>
      </w:r>
    </w:p>
    <w:p w14:paraId="07B64890"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rPr>
          <w:rFonts w:eastAsia="SimSun" w:cs="Tahoma"/>
          <w:color w:val="000000"/>
          <w:kern w:val="2"/>
          <w:szCs w:val="24"/>
          <w:lang w:eastAsia="hi-IN" w:bidi="hi-IN"/>
        </w:rPr>
      </w:pPr>
      <w:r w:rsidRPr="000A5B07">
        <w:rPr>
          <w:rFonts w:eastAsia="SimSun" w:cs="Tahoma"/>
          <w:color w:val="000000"/>
          <w:kern w:val="2"/>
          <w:szCs w:val="24"/>
          <w:lang w:eastAsia="hi-IN" w:bidi="hi-IN"/>
        </w:rPr>
        <w:tab/>
        <w:t>3. Šis Tvarkos aprašas taikomas nustačius atvejus, kai dėl tikslinės kompensacijos gavėjo kaltės (nesąžiningumo) permokėtos ar neteisėtai slaugančiam asmeniui išmokėtos tikslinės kompensacijos.</w:t>
      </w:r>
    </w:p>
    <w:p w14:paraId="770A6751"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pPr>
      <w:r w:rsidRPr="000A5B07">
        <w:rPr>
          <w:rFonts w:eastAsia="SimSun" w:cs="Tahoma"/>
          <w:color w:val="000000"/>
          <w:kern w:val="2"/>
          <w:szCs w:val="24"/>
          <w:lang w:eastAsia="hi-IN" w:bidi="hi-IN"/>
        </w:rPr>
        <w:tab/>
        <w:t xml:space="preserve">4. Šis Tvarkos aprašas parengtas vadovaujantis </w:t>
      </w:r>
      <w:r w:rsidRPr="000A5B07">
        <w:t>Lietuvos Respublikos tikslinių kompensacijų įstatymu (toliau – Įstatymas).</w:t>
      </w:r>
    </w:p>
    <w:p w14:paraId="652A98AB"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pPr>
      <w:r w:rsidRPr="000A5B07">
        <w:tab/>
      </w:r>
      <w:r w:rsidRPr="000A5B07">
        <w:rPr>
          <w:rFonts w:eastAsia="SimSun" w:cs="Tahoma"/>
          <w:color w:val="000000"/>
          <w:kern w:val="2"/>
          <w:szCs w:val="24"/>
          <w:lang w:eastAsia="hi-IN" w:bidi="hi-IN"/>
        </w:rPr>
        <w:t xml:space="preserve">5. </w:t>
      </w:r>
      <w:r w:rsidRPr="000A5B07">
        <w:t xml:space="preserve"> Šiame Tvarkos apraše vartojamos sąvokos atitinka Įstatyme apibrėžtas sąvokas.</w:t>
      </w:r>
    </w:p>
    <w:p w14:paraId="2E2FB6E8"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pPr>
    </w:p>
    <w:p w14:paraId="7788B380" w14:textId="77777777" w:rsidR="000A5B07" w:rsidRPr="000A5B07" w:rsidRDefault="000A5B07" w:rsidP="000A5B07">
      <w:pPr>
        <w:spacing w:after="0" w:line="240" w:lineRule="auto"/>
        <w:jc w:val="center"/>
        <w:rPr>
          <w:b/>
          <w:szCs w:val="24"/>
        </w:rPr>
      </w:pPr>
      <w:r w:rsidRPr="000A5B07">
        <w:rPr>
          <w:b/>
          <w:szCs w:val="24"/>
        </w:rPr>
        <w:t>II SKYRIUS</w:t>
      </w:r>
    </w:p>
    <w:p w14:paraId="525B31CE" w14:textId="77777777" w:rsidR="000A5B07" w:rsidRPr="000A5B07" w:rsidRDefault="000A5B07" w:rsidP="000A5B07">
      <w:pPr>
        <w:spacing w:after="0" w:line="240" w:lineRule="auto"/>
        <w:jc w:val="center"/>
        <w:rPr>
          <w:b/>
          <w:szCs w:val="24"/>
        </w:rPr>
      </w:pPr>
      <w:r w:rsidRPr="000A5B07">
        <w:rPr>
          <w:b/>
          <w:szCs w:val="24"/>
        </w:rPr>
        <w:t>TIKSLINĖS KOMPENSACIJOS PERMOKŲ NUSTATYMAS IR JŲ GRĄŽINIMAS</w:t>
      </w:r>
    </w:p>
    <w:p w14:paraId="0F9292DE" w14:textId="77777777" w:rsidR="000A5B07" w:rsidRPr="000A5B07" w:rsidRDefault="000A5B07" w:rsidP="000A5B07">
      <w:pPr>
        <w:spacing w:after="0" w:line="240" w:lineRule="auto"/>
        <w:jc w:val="center"/>
        <w:rPr>
          <w:b/>
          <w:szCs w:val="24"/>
        </w:rPr>
      </w:pPr>
    </w:p>
    <w:p w14:paraId="0518F8C3" w14:textId="3BDBE8F5" w:rsidR="000A5B07" w:rsidRPr="000A5B07" w:rsidRDefault="000A5B07" w:rsidP="000A5B07">
      <w:pPr>
        <w:spacing w:after="0" w:line="360" w:lineRule="auto"/>
        <w:jc w:val="both"/>
        <w:rPr>
          <w:szCs w:val="24"/>
        </w:rPr>
      </w:pPr>
      <w:r w:rsidRPr="000A5B07">
        <w:rPr>
          <w:szCs w:val="24"/>
        </w:rPr>
        <w:tab/>
        <w:t xml:space="preserve">6. </w:t>
      </w:r>
      <w:bookmarkStart w:id="0" w:name="_Hlk147389856"/>
      <w:r w:rsidRPr="000A5B07">
        <w:rPr>
          <w:szCs w:val="24"/>
        </w:rPr>
        <w:t>Kupiškio rajono savivaldybės administracijos Socialinės paramos</w:t>
      </w:r>
      <w:r w:rsidR="00D74F76">
        <w:rPr>
          <w:szCs w:val="24"/>
        </w:rPr>
        <w:t xml:space="preserve"> ir sveikatos</w:t>
      </w:r>
      <w:r w:rsidRPr="000A5B07">
        <w:rPr>
          <w:szCs w:val="24"/>
        </w:rPr>
        <w:t xml:space="preserve"> skyriaus </w:t>
      </w:r>
      <w:bookmarkEnd w:id="0"/>
      <w:r w:rsidRPr="000A5B07">
        <w:rPr>
          <w:szCs w:val="24"/>
        </w:rPr>
        <w:t xml:space="preserve">(toliau – </w:t>
      </w:r>
      <w:r w:rsidR="005346D2">
        <w:rPr>
          <w:szCs w:val="24"/>
        </w:rPr>
        <w:t>Skyrius</w:t>
      </w:r>
      <w:r w:rsidRPr="000A5B07">
        <w:rPr>
          <w:szCs w:val="24"/>
        </w:rPr>
        <w:t>) atsakingas darbuotojas, nustatęs tikslinės kompensacijos permoką, ne vėliau kaip per 3 darbo dienas fiksuoja ją Socialinės paramos apskaitos informacinėje sistemoje „Parama“ ir parengia sprendimo projektą dėl asmeniui tikslinės kompensacijos permokos nustatymo ir jos grąžinimo (toliau – sprendimo projektas).</w:t>
      </w:r>
    </w:p>
    <w:p w14:paraId="2A0C0777" w14:textId="77777777" w:rsidR="000A5B07" w:rsidRPr="000A5B07" w:rsidRDefault="000A5B07" w:rsidP="000A5B07">
      <w:pPr>
        <w:spacing w:after="0" w:line="360" w:lineRule="auto"/>
        <w:jc w:val="both"/>
        <w:rPr>
          <w:szCs w:val="24"/>
        </w:rPr>
      </w:pPr>
      <w:r w:rsidRPr="000A5B07">
        <w:rPr>
          <w:szCs w:val="24"/>
        </w:rPr>
        <w:tab/>
        <w:t>7.  Sprendimo projekte nurodoma:</w:t>
      </w:r>
    </w:p>
    <w:p w14:paraId="2A8723AB" w14:textId="77777777" w:rsidR="000A5B07" w:rsidRPr="000A5B07" w:rsidRDefault="000A5B07" w:rsidP="000A5B07">
      <w:pPr>
        <w:spacing w:after="0" w:line="360" w:lineRule="auto"/>
        <w:jc w:val="both"/>
        <w:rPr>
          <w:szCs w:val="24"/>
        </w:rPr>
      </w:pPr>
      <w:r w:rsidRPr="000A5B07">
        <w:rPr>
          <w:szCs w:val="24"/>
        </w:rPr>
        <w:tab/>
        <w:t>7.1. data, numeris, sprendimo parengimo vieta;</w:t>
      </w:r>
    </w:p>
    <w:p w14:paraId="1D701CE2" w14:textId="77777777" w:rsidR="000A5B07" w:rsidRPr="000A5B07" w:rsidRDefault="000A5B07" w:rsidP="000A5B07">
      <w:pPr>
        <w:spacing w:after="0" w:line="360" w:lineRule="auto"/>
        <w:jc w:val="both"/>
        <w:rPr>
          <w:szCs w:val="24"/>
        </w:rPr>
      </w:pPr>
      <w:r w:rsidRPr="000A5B07">
        <w:rPr>
          <w:szCs w:val="24"/>
        </w:rPr>
        <w:tab/>
        <w:t xml:space="preserve">7.2. </w:t>
      </w:r>
      <w:r w:rsidRPr="000A5B07">
        <w:rPr>
          <w:rFonts w:eastAsia="SimSun" w:cs="Tahoma"/>
          <w:color w:val="000000"/>
          <w:kern w:val="2"/>
          <w:szCs w:val="24"/>
          <w:lang w:eastAsia="hi-IN" w:bidi="hi-IN"/>
        </w:rPr>
        <w:t>teisinis pagrindas, kuriuo pagrįstas permokos nustatymas ir įgaliojimą parengti sprendimo projektą;</w:t>
      </w:r>
    </w:p>
    <w:p w14:paraId="7110C1B2" w14:textId="77777777" w:rsidR="000A5B07" w:rsidRPr="000A5B07" w:rsidRDefault="000A5B07" w:rsidP="000A5B07">
      <w:pPr>
        <w:spacing w:after="0" w:line="360" w:lineRule="auto"/>
        <w:jc w:val="both"/>
        <w:rPr>
          <w:szCs w:val="24"/>
        </w:rPr>
      </w:pPr>
    </w:p>
    <w:p w14:paraId="2AE3C153"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szCs w:val="24"/>
        </w:rPr>
        <w:lastRenderedPageBreak/>
        <w:tab/>
      </w:r>
      <w:r w:rsidRPr="000A5B07">
        <w:rPr>
          <w:rFonts w:eastAsia="SimSun" w:cs="Tahoma"/>
          <w:color w:val="000000"/>
          <w:kern w:val="2"/>
          <w:szCs w:val="24"/>
          <w:lang w:eastAsia="hi-IN" w:bidi="hi-IN"/>
        </w:rPr>
        <w:t>7.3. tikslinės kompensacijos gavėjo vardas, pavardė, asmens kodas;</w:t>
      </w:r>
    </w:p>
    <w:p w14:paraId="7E7C6A23"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7.4. tikslinės kompensacijos rūšis;</w:t>
      </w:r>
    </w:p>
    <w:p w14:paraId="0600AA84"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7.5. permokos susidarymo laikotarpis (-</w:t>
      </w:r>
      <w:proofErr w:type="spellStart"/>
      <w:r w:rsidRPr="000A5B07">
        <w:rPr>
          <w:rFonts w:eastAsia="SimSun" w:cs="Tahoma"/>
          <w:color w:val="000000"/>
          <w:kern w:val="2"/>
          <w:szCs w:val="24"/>
          <w:lang w:eastAsia="hi-IN" w:bidi="hi-IN"/>
        </w:rPr>
        <w:t>iai</w:t>
      </w:r>
      <w:proofErr w:type="spellEnd"/>
      <w:r w:rsidRPr="000A5B07">
        <w:rPr>
          <w:rFonts w:eastAsia="SimSun" w:cs="Tahoma"/>
          <w:color w:val="000000"/>
          <w:kern w:val="2"/>
          <w:szCs w:val="24"/>
          <w:lang w:eastAsia="hi-IN" w:bidi="hi-IN"/>
        </w:rPr>
        <w:t>);</w:t>
      </w:r>
    </w:p>
    <w:p w14:paraId="629A4FB6"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7.6. permokos suma;</w:t>
      </w:r>
    </w:p>
    <w:p w14:paraId="54F0D714"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7.7. permokos susidarymo priežastys, jų paaiškinimas (faktinės aplinkybės, kurios pagrindžia sprendimą;</w:t>
      </w:r>
    </w:p>
    <w:p w14:paraId="3677EB90" w14:textId="03F71886"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7.8. grąžinti neteisėtai gautą tikslinės kompensacijos permokos sumą arba ją grąžinti dalimis į Skyriaus atsiskaitomąją sąskaitą (nurodant sąskaitos Nr., banko pavadinimą ir banko kodą) per 30 kalendorinių dienų nuo sprendimo gavimo dienos;</w:t>
      </w:r>
    </w:p>
    <w:p w14:paraId="3194D03A" w14:textId="4A513171"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7.9. tolimesni Skyriaus veiksmai, jei permoka per nustatyta terminą nebus grąžinta;</w:t>
      </w:r>
    </w:p>
    <w:p w14:paraId="3504FD8A"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7.10. sprendimą priėmusio atsakingo asmens  pareigos, vardas, pavardė, antspaudas;</w:t>
      </w:r>
    </w:p>
    <w:p w14:paraId="1B7F6104" w14:textId="77777777" w:rsidR="000A5B07" w:rsidRPr="000A5B07" w:rsidRDefault="00BE49B9" w:rsidP="000A5B07">
      <w:pPr>
        <w:spacing w:after="0" w:line="360" w:lineRule="auto"/>
        <w:jc w:val="both"/>
        <w:rPr>
          <w:rFonts w:eastAsia="SimSun" w:cs="Tahoma"/>
          <w:color w:val="000000"/>
          <w:kern w:val="2"/>
          <w:szCs w:val="24"/>
          <w:lang w:eastAsia="hi-IN" w:bidi="hi-IN"/>
        </w:rPr>
      </w:pPr>
      <w:r>
        <w:rPr>
          <w:rFonts w:eastAsia="SimSun" w:cs="Tahoma"/>
          <w:color w:val="000000"/>
          <w:kern w:val="2"/>
          <w:szCs w:val="24"/>
          <w:lang w:eastAsia="hi-IN" w:bidi="hi-IN"/>
        </w:rPr>
        <w:tab/>
        <w:t>7.11</w:t>
      </w:r>
      <w:r w:rsidR="000A5B07" w:rsidRPr="000A5B07">
        <w:rPr>
          <w:rFonts w:eastAsia="SimSun" w:cs="Tahoma"/>
          <w:color w:val="000000"/>
          <w:kern w:val="2"/>
          <w:szCs w:val="24"/>
          <w:lang w:eastAsia="hi-IN" w:bidi="hi-IN"/>
        </w:rPr>
        <w:t>. sprendimo apskundimo tvarka</w:t>
      </w:r>
      <w:r w:rsidR="000A5B07" w:rsidRPr="000A5B07">
        <w:rPr>
          <w:rFonts w:eastAsia="SimSun" w:cs="Tahoma"/>
          <w:bCs/>
          <w:color w:val="000000"/>
          <w:kern w:val="2"/>
          <w:szCs w:val="24"/>
          <w:lang w:eastAsia="hi-IN" w:bidi="hi-IN"/>
        </w:rPr>
        <w:t>.</w:t>
      </w:r>
    </w:p>
    <w:p w14:paraId="00B98DAE"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 xml:space="preserve">8. Sprendimą pasirašo </w:t>
      </w:r>
      <w:r w:rsidRPr="002F2CF4">
        <w:rPr>
          <w:rFonts w:eastAsia="SimSun" w:cs="Tahoma"/>
          <w:kern w:val="2"/>
          <w:szCs w:val="24"/>
          <w:lang w:eastAsia="hi-IN" w:bidi="hi-IN"/>
        </w:rPr>
        <w:t xml:space="preserve">Administratoriaus direktoriaus įgaliotas </w:t>
      </w:r>
      <w:r w:rsidRPr="000A5B07">
        <w:rPr>
          <w:rFonts w:eastAsia="SimSun" w:cs="Tahoma"/>
          <w:color w:val="000000"/>
          <w:kern w:val="2"/>
          <w:szCs w:val="24"/>
          <w:lang w:eastAsia="hi-IN" w:bidi="hi-IN"/>
        </w:rPr>
        <w:t>asmuo.</w:t>
      </w:r>
    </w:p>
    <w:p w14:paraId="697CFAAA" w14:textId="3D0EC7A2"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9. S</w:t>
      </w:r>
      <w:r w:rsidR="002F2CF4">
        <w:rPr>
          <w:rFonts w:eastAsia="SimSun" w:cs="Tahoma"/>
          <w:color w:val="000000"/>
          <w:kern w:val="2"/>
          <w:szCs w:val="24"/>
          <w:lang w:eastAsia="hi-IN" w:bidi="hi-IN"/>
        </w:rPr>
        <w:t xml:space="preserve">kyriaus </w:t>
      </w:r>
      <w:r w:rsidRPr="000A5B07">
        <w:rPr>
          <w:rFonts w:eastAsia="SimSun" w:cs="Tahoma"/>
          <w:color w:val="000000"/>
          <w:kern w:val="2"/>
          <w:szCs w:val="24"/>
          <w:lang w:eastAsia="hi-IN" w:bidi="hi-IN"/>
        </w:rPr>
        <w:t>atsakingas darbuotojas per 5 darbo dienas nuo sprendimo pasirašymo dienos tikslinės kompensacijos gavėjui raštu išsiunčia pranešimą dėl tikslinės kompensacijos permokos nustatymo, kuriame pateikia informaciją apie susidariusios permokos dydį ir pateikia pasiūlymą grąžinti neteisėtai gautą tikslinės kompensacijos permokos sumą per 30 kalendorinių dienų arba ją grąžinti dalimis į nurodytą S</w:t>
      </w:r>
      <w:r w:rsidR="002F2CF4">
        <w:rPr>
          <w:rFonts w:eastAsia="SimSun" w:cs="Tahoma"/>
          <w:color w:val="000000"/>
          <w:kern w:val="2"/>
          <w:szCs w:val="24"/>
          <w:lang w:eastAsia="hi-IN" w:bidi="hi-IN"/>
        </w:rPr>
        <w:t xml:space="preserve">kyriaus </w:t>
      </w:r>
      <w:r w:rsidRPr="000A5B07">
        <w:rPr>
          <w:rFonts w:eastAsia="SimSun" w:cs="Tahoma"/>
          <w:color w:val="000000"/>
          <w:kern w:val="2"/>
          <w:szCs w:val="24"/>
          <w:lang w:eastAsia="hi-IN" w:bidi="hi-IN"/>
        </w:rPr>
        <w:t>atsiskaitomąją sąskaitą. Pranešime nurodomi išskaičiavimo atvejai ir informacija apie permokos išieškojimą teismine tvarka. Kartu su pranešimu siunčiama sprendimo kopija.</w:t>
      </w:r>
    </w:p>
    <w:p w14:paraId="7AA93D46" w14:textId="327888E4"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10. S</w:t>
      </w:r>
      <w:r w:rsidR="002F2CF4">
        <w:rPr>
          <w:rFonts w:eastAsia="SimSun" w:cs="Tahoma"/>
          <w:color w:val="000000"/>
          <w:kern w:val="2"/>
          <w:szCs w:val="24"/>
          <w:lang w:eastAsia="hi-IN" w:bidi="hi-IN"/>
        </w:rPr>
        <w:t xml:space="preserve">kyriaus </w:t>
      </w:r>
      <w:r w:rsidRPr="000A5B07">
        <w:rPr>
          <w:rFonts w:eastAsia="SimSun" w:cs="Tahoma"/>
          <w:color w:val="000000"/>
          <w:kern w:val="2"/>
          <w:szCs w:val="24"/>
          <w:lang w:eastAsia="hi-IN" w:bidi="hi-IN"/>
        </w:rPr>
        <w:t>atsakingas darbuotojas sprendimą registruoja permokų nustatymo žurnale.</w:t>
      </w:r>
    </w:p>
    <w:p w14:paraId="49A092DA" w14:textId="0F97B648"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 xml:space="preserve">11. Tikslinės kompensacijos gavėjui, sutikus permoką grąžinti dalimis, sudaroma tikslinės kompensacijos grąžinimo sutartis, kurią </w:t>
      </w:r>
      <w:r w:rsidRPr="002F2CF4">
        <w:rPr>
          <w:rFonts w:eastAsia="SimSun" w:cs="Tahoma"/>
          <w:kern w:val="2"/>
          <w:szCs w:val="24"/>
          <w:lang w:eastAsia="hi-IN" w:bidi="hi-IN"/>
        </w:rPr>
        <w:t xml:space="preserve">pasirašo </w:t>
      </w:r>
      <w:r w:rsidR="002F2CF4" w:rsidRPr="002F2CF4">
        <w:rPr>
          <w:rFonts w:eastAsia="SimSun" w:cs="Tahoma"/>
          <w:kern w:val="2"/>
          <w:szCs w:val="24"/>
          <w:lang w:eastAsia="hi-IN" w:bidi="hi-IN"/>
        </w:rPr>
        <w:t>Savivaldybės mero</w:t>
      </w:r>
      <w:r w:rsidRPr="002F2CF4">
        <w:rPr>
          <w:rFonts w:eastAsia="SimSun" w:cs="Tahoma"/>
          <w:kern w:val="2"/>
          <w:szCs w:val="24"/>
          <w:lang w:eastAsia="hi-IN" w:bidi="hi-IN"/>
        </w:rPr>
        <w:t xml:space="preserve"> </w:t>
      </w:r>
      <w:r w:rsidRPr="000A5B07">
        <w:rPr>
          <w:rFonts w:eastAsia="SimSun" w:cs="Tahoma"/>
          <w:color w:val="000000"/>
          <w:kern w:val="2"/>
          <w:szCs w:val="24"/>
          <w:lang w:eastAsia="hi-IN" w:bidi="hi-IN"/>
        </w:rPr>
        <w:t>įgaliotas asmuo ir tikslinės kompensacijos gavėjas.</w:t>
      </w:r>
    </w:p>
    <w:p w14:paraId="302E88BE"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12. Jeigu tikslinės kompensacijos gavėjas per nustatytą terminą negrąžina permokos sumos ir nesudaro sutarties dėl tikslinės kompensacijos grąžinimo ar nesilaiko sutartyje dėl tikslinės kompensacijos grąžinimo nustatytų permokos grąžinimo terminų, permokėta ir negrąžinta tikslinės kompensacijos suma išskaitoma iš asmeniui mokamos tikslinės kompensacijos. Išskaitoma suma per mėnesį negali viršyti asmeniui priklausančios 20 proc. tikslinės kompensacijos dydžio sumos.</w:t>
      </w:r>
    </w:p>
    <w:p w14:paraId="0440A8CF"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 xml:space="preserve">. </w:t>
      </w:r>
      <w:r w:rsidRPr="000A5B07">
        <w:rPr>
          <w:rFonts w:eastAsia="SimSun" w:cs="Tahoma"/>
          <w:color w:val="000000"/>
          <w:kern w:val="2"/>
          <w:szCs w:val="24"/>
          <w:lang w:eastAsia="hi-IN" w:bidi="hi-IN"/>
        </w:rPr>
        <w:tab/>
        <w:t>13. Rašytiniu asmens, kuriam mokama tikslinė kompensacija, prašymu gali būti išskaičiuojama daugiau kaip 20 proc. tikslinės kompensacijos per mėnesį.</w:t>
      </w:r>
    </w:p>
    <w:p w14:paraId="3F98C120" w14:textId="19E174AB"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14. Jeigu tikslinės kompensacijos mokėjimas nutraukiamas, tačiau visa permokėta kompensacijos suma neišskaityta, likusi permokos suma išskaitoma iš bet kurios kitos asmens gaunamos išmokos, kurią moka Socialinės paramos</w:t>
      </w:r>
      <w:r w:rsidR="00D74F76">
        <w:rPr>
          <w:rFonts w:eastAsia="SimSun" w:cs="Tahoma"/>
          <w:color w:val="000000"/>
          <w:kern w:val="2"/>
          <w:szCs w:val="24"/>
          <w:lang w:eastAsia="hi-IN" w:bidi="hi-IN"/>
        </w:rPr>
        <w:t xml:space="preserve"> ir sveikatos</w:t>
      </w:r>
      <w:r w:rsidRPr="000A5B07">
        <w:rPr>
          <w:rFonts w:eastAsia="SimSun" w:cs="Tahoma"/>
          <w:color w:val="000000"/>
          <w:kern w:val="2"/>
          <w:szCs w:val="24"/>
          <w:lang w:eastAsia="hi-IN" w:bidi="hi-IN"/>
        </w:rPr>
        <w:t xml:space="preserve"> skyrius. Išskaičiuojama suma negali </w:t>
      </w:r>
      <w:r w:rsidRPr="000A5B07">
        <w:rPr>
          <w:rFonts w:eastAsia="SimSun" w:cs="Tahoma"/>
          <w:color w:val="000000"/>
          <w:kern w:val="2"/>
          <w:szCs w:val="24"/>
          <w:lang w:eastAsia="hi-IN" w:bidi="hi-IN"/>
        </w:rPr>
        <w:lastRenderedPageBreak/>
        <w:t>viršyti 20 proc. asmeniui priklausančios išmokos dydžio. Rašytiniu asmens prašymu gali būti išskaičiuojama daugiau kaip 20 proc. iš S</w:t>
      </w:r>
      <w:r w:rsidR="002F2CF4">
        <w:rPr>
          <w:rFonts w:eastAsia="SimSun" w:cs="Tahoma"/>
          <w:color w:val="000000"/>
          <w:kern w:val="2"/>
          <w:szCs w:val="24"/>
          <w:lang w:eastAsia="hi-IN" w:bidi="hi-IN"/>
        </w:rPr>
        <w:t xml:space="preserve">kyriuje </w:t>
      </w:r>
      <w:r w:rsidRPr="000A5B07">
        <w:rPr>
          <w:rFonts w:eastAsia="SimSun" w:cs="Tahoma"/>
          <w:color w:val="000000"/>
          <w:kern w:val="2"/>
          <w:szCs w:val="24"/>
          <w:lang w:eastAsia="hi-IN" w:bidi="hi-IN"/>
        </w:rPr>
        <w:t>mokamos kitos išmokos per mėnesį.</w:t>
      </w:r>
    </w:p>
    <w:p w14:paraId="6235BDBE" w14:textId="6F499669"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15. Jeigu tikslinės kompensacijos mokėjimas nutraukiamas, tačiau visa permokėta kompensacijos suma neišskaityta, nes asmuo negauna kitų išmokų iš S</w:t>
      </w:r>
      <w:r w:rsidR="002F2CF4">
        <w:rPr>
          <w:rFonts w:eastAsia="SimSun" w:cs="Tahoma"/>
          <w:color w:val="000000"/>
          <w:kern w:val="2"/>
          <w:szCs w:val="24"/>
          <w:lang w:eastAsia="hi-IN" w:bidi="hi-IN"/>
        </w:rPr>
        <w:t>kyriaus</w:t>
      </w:r>
      <w:r w:rsidRPr="000A5B07">
        <w:rPr>
          <w:rFonts w:eastAsia="SimSun" w:cs="Tahoma"/>
          <w:color w:val="000000"/>
          <w:kern w:val="2"/>
          <w:szCs w:val="24"/>
          <w:lang w:eastAsia="hi-IN" w:bidi="hi-IN"/>
        </w:rPr>
        <w:t>, asmeniui išsiunčiamas raginimas grąžinti tikslinės kompensacijos permoką per 30 kalendorinių dienų nurodant informaciją apie permokos išieškojimą teismo tvarka.</w:t>
      </w:r>
    </w:p>
    <w:p w14:paraId="42BD090D"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16. Tikslinės kompensacijos permokos išieškojimas teismo tvarka pradedamas kai:</w:t>
      </w:r>
    </w:p>
    <w:p w14:paraId="69110832" w14:textId="77777777"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16.1. tikslinės kompensacijos gavėjas negrąžina permokėtos sumos per Tvarkos aprašo 9 punkte nustatytą terminą ir nesudaro sutarties dėl tikslinės kompensacijos grąžinimo ar nesilaiko sutartyje dėl tikslinės kompensacijos grąžinimo nustatytų permokos grąžinimo terminų;</w:t>
      </w:r>
    </w:p>
    <w:p w14:paraId="4D744326" w14:textId="31D8956E" w:rsidR="000A5B07" w:rsidRPr="000A5B07" w:rsidRDefault="000A5B07" w:rsidP="000A5B07">
      <w:pPr>
        <w:spacing w:after="0" w:line="360" w:lineRule="auto"/>
        <w:jc w:val="both"/>
        <w:rPr>
          <w:rFonts w:eastAsia="SimSun" w:cs="Tahoma"/>
          <w:color w:val="000000"/>
          <w:kern w:val="2"/>
          <w:szCs w:val="24"/>
          <w:lang w:eastAsia="hi-IN" w:bidi="hi-IN"/>
        </w:rPr>
      </w:pPr>
      <w:r w:rsidRPr="000A5B07">
        <w:rPr>
          <w:rFonts w:eastAsia="SimSun" w:cs="Tahoma"/>
          <w:color w:val="000000"/>
          <w:kern w:val="2"/>
          <w:szCs w:val="24"/>
          <w:lang w:eastAsia="hi-IN" w:bidi="hi-IN"/>
        </w:rPr>
        <w:tab/>
        <w:t>16.2. permokėta ir negrąžinta tikslinės kompensacijos suma nėra išskaitoma, nes asmuo negauna tikslinės kompensacijos ar kitos išmokos, kurią moka S</w:t>
      </w:r>
      <w:r w:rsidR="002F2CF4">
        <w:rPr>
          <w:rFonts w:eastAsia="SimSun" w:cs="Tahoma"/>
          <w:color w:val="000000"/>
          <w:kern w:val="2"/>
          <w:szCs w:val="24"/>
          <w:lang w:eastAsia="hi-IN" w:bidi="hi-IN"/>
        </w:rPr>
        <w:t>kyrius</w:t>
      </w:r>
      <w:r w:rsidRPr="000A5B07">
        <w:rPr>
          <w:rFonts w:eastAsia="SimSun" w:cs="Tahoma"/>
          <w:color w:val="000000"/>
          <w:kern w:val="2"/>
          <w:szCs w:val="24"/>
          <w:lang w:eastAsia="hi-IN" w:bidi="hi-IN"/>
        </w:rPr>
        <w:t>.</w:t>
      </w:r>
    </w:p>
    <w:p w14:paraId="0040F29C" w14:textId="77777777" w:rsidR="000A5B07" w:rsidRPr="000A5B07" w:rsidRDefault="000A5B07" w:rsidP="000A5B07">
      <w:pPr>
        <w:spacing w:after="0" w:line="360" w:lineRule="auto"/>
        <w:jc w:val="both"/>
        <w:rPr>
          <w:szCs w:val="24"/>
        </w:rPr>
      </w:pPr>
      <w:r w:rsidRPr="000A5B07">
        <w:rPr>
          <w:b/>
          <w:szCs w:val="24"/>
        </w:rPr>
        <w:tab/>
      </w:r>
      <w:r w:rsidRPr="000A5B07">
        <w:rPr>
          <w:szCs w:val="24"/>
        </w:rPr>
        <w:t>17. Tikslinės kompensacijos permoka negrąžinama ir neišskaitoma, jeigu ji yra susidariusi ne dėl tikslinės kompensacijos gavėjo kaltės (nesąžiningumo) ir (ar) nėra galimybės jos išieškoti iš kaltų asmenų (jų teisių ir pareigų perėmėjų) arba jeigu jos išskaitymo išlaidos būtų didesnės už tikslinės kompensacijos permoką.</w:t>
      </w:r>
    </w:p>
    <w:p w14:paraId="56A7EA11" w14:textId="77777777" w:rsidR="000A5B07" w:rsidRPr="000A5B07" w:rsidRDefault="000A5B07" w:rsidP="000A5B07">
      <w:pPr>
        <w:widowControl w:val="0"/>
        <w:tabs>
          <w:tab w:val="left" w:pos="1134"/>
        </w:tabs>
        <w:suppressAutoHyphens/>
        <w:overflowPunct w:val="0"/>
        <w:spacing w:after="0" w:line="360" w:lineRule="auto"/>
        <w:contextualSpacing/>
        <w:jc w:val="both"/>
        <w:textAlignment w:val="baseline"/>
        <w:rPr>
          <w:rFonts w:eastAsia="SimSun" w:cs="Tahoma"/>
          <w:color w:val="000000"/>
          <w:kern w:val="2"/>
          <w:szCs w:val="24"/>
          <w:lang w:eastAsia="hi-IN" w:bidi="hi-IN"/>
        </w:rPr>
      </w:pPr>
    </w:p>
    <w:p w14:paraId="02CB6C24" w14:textId="7A7A23F6" w:rsidR="000A5B07" w:rsidRPr="000A5B07" w:rsidRDefault="000A5B07" w:rsidP="000A5B07">
      <w:pPr>
        <w:spacing w:after="0" w:line="240" w:lineRule="auto"/>
        <w:jc w:val="center"/>
        <w:rPr>
          <w:b/>
          <w:szCs w:val="24"/>
        </w:rPr>
      </w:pPr>
      <w:r w:rsidRPr="000A5B07">
        <w:rPr>
          <w:b/>
          <w:szCs w:val="24"/>
        </w:rPr>
        <w:t>II</w:t>
      </w:r>
      <w:r w:rsidR="000C5C2A">
        <w:rPr>
          <w:b/>
          <w:szCs w:val="24"/>
        </w:rPr>
        <w:t>I</w:t>
      </w:r>
      <w:bookmarkStart w:id="1" w:name="_GoBack"/>
      <w:bookmarkEnd w:id="1"/>
      <w:r w:rsidRPr="000A5B07">
        <w:rPr>
          <w:b/>
          <w:szCs w:val="24"/>
        </w:rPr>
        <w:t xml:space="preserve"> SKYRIUS</w:t>
      </w:r>
    </w:p>
    <w:p w14:paraId="51005A66" w14:textId="77777777" w:rsidR="000A5B07" w:rsidRPr="000A5B07" w:rsidRDefault="000A5B07" w:rsidP="000A5B07">
      <w:pPr>
        <w:widowControl w:val="0"/>
        <w:tabs>
          <w:tab w:val="left" w:pos="1134"/>
        </w:tabs>
        <w:suppressAutoHyphens/>
        <w:overflowPunct w:val="0"/>
        <w:spacing w:after="0" w:line="360" w:lineRule="auto"/>
        <w:contextualSpacing/>
        <w:jc w:val="center"/>
        <w:textAlignment w:val="baseline"/>
        <w:rPr>
          <w:rFonts w:eastAsia="SimSun" w:cs="Tahoma"/>
          <w:b/>
          <w:color w:val="000000"/>
          <w:kern w:val="2"/>
          <w:szCs w:val="24"/>
          <w:lang w:eastAsia="hi-IN" w:bidi="hi-IN"/>
        </w:rPr>
      </w:pPr>
      <w:r w:rsidRPr="000A5B07">
        <w:rPr>
          <w:rFonts w:eastAsia="SimSun" w:cs="Tahoma"/>
          <w:b/>
          <w:color w:val="000000"/>
          <w:kern w:val="2"/>
          <w:szCs w:val="24"/>
          <w:lang w:eastAsia="hi-IN" w:bidi="hi-IN"/>
        </w:rPr>
        <w:t>BAIGIAMOSIOS NUOSTATOS</w:t>
      </w:r>
    </w:p>
    <w:p w14:paraId="1598D32D" w14:textId="77777777" w:rsidR="000A5B07" w:rsidRPr="000A5B07" w:rsidRDefault="000A5B07" w:rsidP="000A5B07">
      <w:pPr>
        <w:widowControl w:val="0"/>
        <w:tabs>
          <w:tab w:val="left" w:pos="1134"/>
        </w:tabs>
        <w:suppressAutoHyphens/>
        <w:overflowPunct w:val="0"/>
        <w:spacing w:after="0" w:line="360" w:lineRule="auto"/>
        <w:contextualSpacing/>
        <w:jc w:val="center"/>
        <w:textAlignment w:val="baseline"/>
        <w:rPr>
          <w:rFonts w:eastAsia="SimSun" w:cs="Tahoma"/>
          <w:b/>
          <w:color w:val="000000"/>
          <w:kern w:val="2"/>
          <w:szCs w:val="24"/>
          <w:lang w:eastAsia="hi-IN" w:bidi="hi-IN"/>
        </w:rPr>
      </w:pPr>
    </w:p>
    <w:p w14:paraId="22EA20D8" w14:textId="7DFC4FB2" w:rsidR="000A5B07" w:rsidRPr="000A5B07" w:rsidRDefault="000A5B07" w:rsidP="000A5B07">
      <w:pPr>
        <w:tabs>
          <w:tab w:val="left" w:pos="1134"/>
          <w:tab w:val="left" w:pos="1276"/>
        </w:tabs>
        <w:overflowPunct w:val="0"/>
        <w:spacing w:after="0" w:line="360" w:lineRule="auto"/>
        <w:ind w:firstLine="851"/>
        <w:contextualSpacing/>
        <w:jc w:val="both"/>
        <w:textAlignment w:val="baseline"/>
        <w:rPr>
          <w:rFonts w:eastAsia="SimSun" w:cs="Tahoma"/>
          <w:bCs/>
          <w:color w:val="000000"/>
          <w:kern w:val="2"/>
          <w:szCs w:val="24"/>
          <w:lang w:eastAsia="hi-IN" w:bidi="hi-IN"/>
        </w:rPr>
      </w:pPr>
      <w:r w:rsidRPr="000A5B07">
        <w:rPr>
          <w:rFonts w:eastAsia="SimSun" w:cs="Tahoma"/>
          <w:color w:val="000000"/>
          <w:kern w:val="2"/>
          <w:szCs w:val="24"/>
          <w:lang w:eastAsia="hi-IN" w:bidi="hi-IN"/>
        </w:rPr>
        <w:t xml:space="preserve">18. Apie sumokėtas permokas bei pervestas Tikslinių kompensacijų sumas </w:t>
      </w:r>
      <w:r w:rsidR="002F2CF4" w:rsidRPr="000A5B07">
        <w:rPr>
          <w:szCs w:val="24"/>
        </w:rPr>
        <w:t xml:space="preserve">Kupiškio rajono savivaldybės administracijos </w:t>
      </w:r>
      <w:r w:rsidR="002F2CF4">
        <w:rPr>
          <w:szCs w:val="24"/>
        </w:rPr>
        <w:t>Apskaitos</w:t>
      </w:r>
      <w:r w:rsidR="002F2CF4" w:rsidRPr="000A5B07">
        <w:rPr>
          <w:szCs w:val="24"/>
        </w:rPr>
        <w:t xml:space="preserve"> skyriaus</w:t>
      </w:r>
      <w:r w:rsidR="002F2CF4">
        <w:rPr>
          <w:szCs w:val="24"/>
        </w:rPr>
        <w:t xml:space="preserve"> vyr. finansininkas</w:t>
      </w:r>
      <w:r w:rsidR="002F2CF4" w:rsidRPr="000A5B07">
        <w:rPr>
          <w:szCs w:val="24"/>
        </w:rPr>
        <w:t xml:space="preserve"> </w:t>
      </w:r>
      <w:r w:rsidRPr="000A5B07">
        <w:rPr>
          <w:rFonts w:eastAsia="SimSun" w:cs="Tahoma"/>
          <w:color w:val="000000"/>
          <w:kern w:val="2"/>
          <w:szCs w:val="24"/>
          <w:lang w:eastAsia="hi-IN" w:bidi="hi-IN"/>
        </w:rPr>
        <w:t>informuoja atsakingus specialistus, kurie suveda duomenis apie atlygintas permokų sumas į Socialinės paramos apskaitos informacinę sistemą „Parama“ ne vėliau kaip kitą darbo dieną.</w:t>
      </w:r>
    </w:p>
    <w:p w14:paraId="0AFABA7D" w14:textId="77777777" w:rsidR="000A5B07" w:rsidRPr="000A5B07" w:rsidRDefault="000A5B07" w:rsidP="000A5B07">
      <w:pPr>
        <w:widowControl w:val="0"/>
        <w:suppressAutoHyphens/>
        <w:overflowPunct w:val="0"/>
        <w:spacing w:after="0" w:line="360" w:lineRule="auto"/>
        <w:ind w:firstLine="720"/>
        <w:jc w:val="both"/>
        <w:textAlignment w:val="baseline"/>
        <w:rPr>
          <w:rFonts w:eastAsia="SimSun" w:cs="Mangal"/>
          <w:color w:val="000000"/>
          <w:kern w:val="1"/>
          <w:szCs w:val="24"/>
          <w:lang w:eastAsia="hi-IN" w:bidi="hi-IN"/>
        </w:rPr>
      </w:pPr>
    </w:p>
    <w:p w14:paraId="4FD113D8" w14:textId="77777777" w:rsidR="000A5B07" w:rsidRPr="000A5B07" w:rsidRDefault="000A5B07" w:rsidP="000A5B07">
      <w:pPr>
        <w:widowControl w:val="0"/>
        <w:tabs>
          <w:tab w:val="left" w:pos="1134"/>
        </w:tabs>
        <w:suppressAutoHyphens/>
        <w:overflowPunct w:val="0"/>
        <w:spacing w:after="0" w:line="360" w:lineRule="auto"/>
        <w:contextualSpacing/>
        <w:jc w:val="center"/>
        <w:textAlignment w:val="baseline"/>
        <w:rPr>
          <w:rFonts w:eastAsia="SimSun" w:cs="Tahoma"/>
          <w:color w:val="000000"/>
          <w:kern w:val="2"/>
          <w:szCs w:val="24"/>
          <w:lang w:eastAsia="hi-IN" w:bidi="hi-IN"/>
        </w:rPr>
      </w:pPr>
      <w:r w:rsidRPr="000A5B07">
        <w:rPr>
          <w:rFonts w:eastAsia="SimSun" w:cs="Tahoma"/>
          <w:color w:val="000000"/>
          <w:kern w:val="2"/>
          <w:szCs w:val="24"/>
          <w:lang w:eastAsia="hi-IN" w:bidi="hi-IN"/>
        </w:rPr>
        <w:t>____________________________________</w:t>
      </w:r>
    </w:p>
    <w:p w14:paraId="22F3156B" w14:textId="77777777" w:rsidR="007C265F" w:rsidRDefault="007C265F"/>
    <w:sectPr w:rsidR="007C265F" w:rsidSect="00464478">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7DD16" w14:textId="77777777" w:rsidR="00FF116C" w:rsidRDefault="00FF116C" w:rsidP="00464478">
      <w:pPr>
        <w:spacing w:after="0" w:line="240" w:lineRule="auto"/>
      </w:pPr>
      <w:r>
        <w:separator/>
      </w:r>
    </w:p>
  </w:endnote>
  <w:endnote w:type="continuationSeparator" w:id="0">
    <w:p w14:paraId="1FCC03C1" w14:textId="77777777" w:rsidR="00FF116C" w:rsidRDefault="00FF116C" w:rsidP="0046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3BD6" w14:textId="77777777" w:rsidR="00FF116C" w:rsidRDefault="00FF116C" w:rsidP="00464478">
      <w:pPr>
        <w:spacing w:after="0" w:line="240" w:lineRule="auto"/>
      </w:pPr>
      <w:r>
        <w:separator/>
      </w:r>
    </w:p>
  </w:footnote>
  <w:footnote w:type="continuationSeparator" w:id="0">
    <w:p w14:paraId="183C87EA" w14:textId="77777777" w:rsidR="00FF116C" w:rsidRDefault="00FF116C" w:rsidP="00464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B1780" w14:textId="77777777" w:rsidR="00464478" w:rsidRDefault="004F6ECC">
    <w:pPr>
      <w:pStyle w:val="Antrats"/>
      <w:jc w:val="center"/>
    </w:pPr>
    <w:r>
      <w:rPr>
        <w:noProof/>
      </w:rPr>
      <w:fldChar w:fldCharType="begin"/>
    </w:r>
    <w:r>
      <w:rPr>
        <w:noProof/>
      </w:rPr>
      <w:instrText xml:space="preserve"> PAGE   \* MERGEFORMAT </w:instrText>
    </w:r>
    <w:r>
      <w:rPr>
        <w:noProof/>
      </w:rPr>
      <w:fldChar w:fldCharType="separate"/>
    </w:r>
    <w:r w:rsidR="000C5C2A">
      <w:rPr>
        <w:noProof/>
      </w:rPr>
      <w:t>3</w:t>
    </w:r>
    <w:r>
      <w:rPr>
        <w:noProof/>
      </w:rPr>
      <w:fldChar w:fldCharType="end"/>
    </w:r>
  </w:p>
  <w:p w14:paraId="52813A94" w14:textId="77777777" w:rsidR="00464478" w:rsidRDefault="004644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07"/>
    <w:rsid w:val="000A5B07"/>
    <w:rsid w:val="000C5C2A"/>
    <w:rsid w:val="00184AD6"/>
    <w:rsid w:val="002F2CF4"/>
    <w:rsid w:val="00375CE6"/>
    <w:rsid w:val="0045469A"/>
    <w:rsid w:val="00464478"/>
    <w:rsid w:val="004F6ECC"/>
    <w:rsid w:val="005346D2"/>
    <w:rsid w:val="007703B9"/>
    <w:rsid w:val="007C265F"/>
    <w:rsid w:val="00BE49B9"/>
    <w:rsid w:val="00D20861"/>
    <w:rsid w:val="00D74F76"/>
    <w:rsid w:val="00E20831"/>
    <w:rsid w:val="00FF1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C0FE"/>
  <w15:docId w15:val="{EF8615C4-81B6-47EB-A50C-EE8A31EE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469A"/>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4478"/>
    <w:pPr>
      <w:tabs>
        <w:tab w:val="center" w:pos="4819"/>
        <w:tab w:val="right" w:pos="9638"/>
      </w:tabs>
    </w:pPr>
  </w:style>
  <w:style w:type="character" w:customStyle="1" w:styleId="AntratsDiagrama">
    <w:name w:val="Antraštės Diagrama"/>
    <w:basedOn w:val="Numatytasispastraiposriftas"/>
    <w:link w:val="Antrats"/>
    <w:uiPriority w:val="99"/>
    <w:rsid w:val="00464478"/>
    <w:rPr>
      <w:sz w:val="24"/>
      <w:szCs w:val="22"/>
      <w:lang w:eastAsia="en-US"/>
    </w:rPr>
  </w:style>
  <w:style w:type="paragraph" w:styleId="Porat">
    <w:name w:val="footer"/>
    <w:basedOn w:val="prastasis"/>
    <w:link w:val="PoratDiagrama"/>
    <w:uiPriority w:val="99"/>
    <w:semiHidden/>
    <w:unhideWhenUsed/>
    <w:rsid w:val="00464478"/>
    <w:pPr>
      <w:tabs>
        <w:tab w:val="center" w:pos="4819"/>
        <w:tab w:val="right" w:pos="9638"/>
      </w:tabs>
    </w:pPr>
  </w:style>
  <w:style w:type="character" w:customStyle="1" w:styleId="PoratDiagrama">
    <w:name w:val="Poraštė Diagrama"/>
    <w:basedOn w:val="Numatytasispastraiposriftas"/>
    <w:link w:val="Porat"/>
    <w:uiPriority w:val="99"/>
    <w:semiHidden/>
    <w:rsid w:val="0046447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jovita_b</cp:lastModifiedBy>
  <cp:revision>4</cp:revision>
  <cp:lastPrinted>2019-06-28T11:44:00Z</cp:lastPrinted>
  <dcterms:created xsi:type="dcterms:W3CDTF">2023-10-05T05:06:00Z</dcterms:created>
  <dcterms:modified xsi:type="dcterms:W3CDTF">2023-10-05T08:46:00Z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b74e3a5f-fb4c-4b10-9433-595cae85e823</vt:lpwstr>
  </property>
</Properties>
</file>